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2003 16 vom 3. Dezember 2003</w:t>
      </w:r>
    </w:p>
    <w:p>
      <w:r>
        <w:t>GR Gerichte, 2003-12-03, DE</w:t>
      </w:r>
    </w:p>
    <w:p>
      <w:r>
        <w:rPr>
          <w:b/>
        </w:rPr>
        <w:t xml:space="preserve">Quelle: </w:t>
      </w:r>
      <w:r>
        <w:t>https://mcp.opencaselaw.ch/entscheid/gr_gerichte_VB 2003 16</w:t>
      </w:r>
    </w:p>
    <w:p>
      <w:r>
        <w:t>FR: GR_GERICHTE VB 2003 16 du 3 décembre 2003</w:t>
      </w:r>
    </w:p>
    <w:p>
      <w:r>
        <w:t>IT: GR_GERICHTE VB 2003 16 del 3 dicembre 2003</w:t>
      </w:r>
    </w:p>
    <w:p>
      <w:pPr>
        <w:pStyle w:val="Heading2"/>
      </w:pPr>
      <w:r>
        <w:t>Regeste</w:t>
      </w:r>
    </w:p>
    <w:p>
      <w:r>
        <w:t>Widerhandlung gegen das Strassenverkehrsgesetz | Strafrecht-Rechtspflege-Strafvollzug</w:t>
      </w:r>
    </w:p>
    <w:p>
      <w:pPr>
        <w:pStyle w:val="Heading2"/>
      </w:pPr>
      <w:r>
        <w:t>Erwägungen</w:t>
      </w:r>
    </w:p>
    <w:p>
      <w:r>
        <w:rPr>
          <w:b/>
        </w:rPr>
        <w:t>E. 2</w:t>
      </w:r>
    </w:p>
    <w:p>
      <w:r>
        <w:t>In einer noch an die Kantonspolizei Graubünden gerichteten Stellung- nahme vom 4. September 2002 hielt der Rechtsvertreter von X. fest, dass die am besagten Tag vorgenommenen drei Wägungen die zum Vorwurf gemachten Überlasten nicht belegen würden. Die Messungen seien vorgenommen worden, ohne dass der Anhänger abgesattelt worden sei. Der gesamte Zug habe nicht auf die Waage gepasst. Bei der ersten Wägung sei nur die Antriebsachse auf der Waage gestanden. Bei der zweiten Wägung habe sich die Zugmaschine mit dem vorderen Teil des Aufliegers auf der Waage befunden und beim dritten Mal seien die drei Achsen des Aufliegers auf der Waage plaziert worden. Dieses Vorgehen halte einer Überprüfung nicht stand. B. 1. Mit Schreiben vom 21. Oktober 2002 informierte das Strassenver- kehrsamt Graubünden X. über das anhängig gemachte Verfahren und räumte</w:t>
      </w:r>
    </w:p>
    <w:p>
      <w:r>
        <w:rPr>
          <w:b/>
        </w:rPr>
        <w:t>E. 3</w:t>
      </w:r>
    </w:p>
    <w:p>
      <w:r>
        <w:t>ihm Gelegenheit ein, sich zu der ihm vorgeworfenen Missachtung des zulässigen Gesamtgewichts des Sattelschleppers im Sinne von Art. 30 Abs. 2 SVG, Art. 67 Abs. 1 VRV in Verbindung mit Art. 96 Ziff. 1 Abs. 3 SVG sowie der Missachtung der zulässigen Achslast des Sattelschleppers im Sinne von Art. 67 Abs. 2 lit. b VRV in Verbindung mit Art. 96 Ziff. 1 Abs. 3 SVG zu äussern. 2. In seiner Stellungnahme vom 5. November 2002 führte der Rechts- vertreter von X. aus, sowohl der Vorwurf der Überschreitung der zulässigen Achslast wie auch der nun zusätzlich erhobene Vorwurf der Überschreitung des zulässigen Gesamtgewichts würden bestritten. Das tatsächliche Gesamtgewicht habe 860 kg unter dem zulässigen Gesamtgewicht von 40'000 kg gelegen. Der Transport habe ausschliesslich auf Paletten gelagerte Aluminiumblöcke umfasst. Diese hätten die Ladefläche ausgefüllt. Eine gleichmässige Gewichtsverteilung sei gewährleistet gewesen, was sich mittels Sachverständigengutachten nachweisen lasse. Eine Verschiebung, Verlagerung, Verdichtung oder Ähnliches habe nicht auftreten können. Eine Überlastung sei demnach ausgeschlossen gewesen. Die Beladung des Aufliegers sei von der Firma E. in F. korrekt durchgeführt worden. Diesbezüglich werde der Lademeister, D., als Zeuge benannt. Die Wägungen der Kantonspolizei seien nicht korrekt erfolgt. Einerseits sei bereits die Messmethode falsch gewesen. Der kantonale Eichmeister habe in seinem Schreiben vom 6. Oktober 2002 ausdrücklich festgehalten, dass die vorgenommene Wägung ohne Absatteln nicht definiert sei und das Resultat nicht vernachlässigbare Messunsicherheiten beinhalte. C. 1. Mit Strafmandat vom 29. Januar 2003 sprach das Strassenver- kehrsamt des Kantons Graubünden X. schuldig der Widerhandlung gegen Art. 30 Abs. 2 SVG, Art. 67 Abs. 1 VRV in Verbindung mit Art. 96 Ziff. 1 Abs. 3 SVG sowie Art. 67 Abs. 2 lit. b VRV in Verbindung mit Art. 96 Ziff. 1 Abs. 3 SVG und auferlegte ihm eine Busse von Fr. 430.--. 2. Dagegen liess X. am 7. Februar 2003 Einsprache erheben. Zur Begründung wurde auf die Ausführungen in der Stellungnahme vom 5. November 2002 verwiesen. D. Mit Verfügung vom 15. Oktober 2003, mitgeteilt am 23. Oktober 2003 erkannte das Justiz-, Polizei- und Sanitätsdepartement Graubünden: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